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2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8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RICHIESTA ANTICIPAZIONE A FRONTE FIDEJUSSIONE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6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PON METRO Milano 2014-20, </w:t>
      </w:r>
      <w:bookmarkStart w:id="0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0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________________ e-mail PEC _____________________________________,</w:t>
      </w:r>
    </w:p>
    <w:p>
      <w:pPr>
        <w:pStyle w:val="Normal"/>
        <w:spacing w:lineRule="auto" w:line="360"/>
        <w:rPr>
          <w:rFonts w:cs="Calibri" w:cstheme="minorHAnsi"/>
          <w:szCs w:val="22"/>
        </w:rPr>
      </w:pPr>
      <w:r>
        <w:rPr>
          <w:rFonts w:cs="Calibri" w:cstheme="minorHAnsi"/>
          <w:szCs w:val="22"/>
        </w:rPr>
        <w:t xml:space="preserve">beneficiario del finanziamento PON METRO Milano 2014-20, </w:t>
      </w:r>
      <w:r>
        <w:rPr>
          <w:sz w:val="23"/>
          <w:szCs w:val="23"/>
        </w:rPr>
        <w:t>Azione MI6.2.1.b, riferito all’Avviso pubblico “Mi15 Spazi  e servizi per Milano a 15 minuti”</w:t>
      </w:r>
      <w:r>
        <w:rPr>
          <w:rFonts w:cs="Calibri" w:cstheme="minorHAnsi"/>
          <w:szCs w:val="22"/>
        </w:rPr>
        <w:t>, consapevole delle sanzioni penali previste dall’art. 76 del D.P.R. 28.12.2000, n. 445 s.m.i., con la presente:</w:t>
      </w:r>
      <w:bookmarkStart w:id="1" w:name="_Hlk42164185"/>
      <w:bookmarkEnd w:id="1"/>
    </w:p>
    <w:p>
      <w:pPr>
        <w:pStyle w:val="Normal"/>
        <w:spacing w:lineRule="auto" w:line="240" w:before="227" w:after="113"/>
        <w:ind w:left="567" w:hanging="0"/>
        <w:jc w:val="center"/>
        <w:rPr/>
      </w:pPr>
      <w:r>
        <w:rPr>
          <w:rFonts w:eastAsia="Times New Roman" w:cs="Calibri" w:cstheme="minorHAnsi"/>
          <w:b/>
          <w:bCs/>
          <w:color w:val="auto"/>
          <w:szCs w:val="22"/>
          <w:lang w:eastAsia="it-IT"/>
        </w:rPr>
        <w:t>DICHIARA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color w:val="auto"/>
        </w:rPr>
        <w:t>che nulla è variato rispetto ai requisiti di ammissibilità dichiarati in sede di presentazione della proposta progettuale e di impegnarsi a comunicare tempestivamente al Comune di Milano eventuali variazioni che possano avere un impatto sull’attuazione sul progetto;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cs="Calibri" w:cstheme="minorHAnsi"/>
          <w:color w:val="auto"/>
          <w:szCs w:val="24"/>
        </w:rPr>
        <w:t xml:space="preserve">che </w:t>
      </w:r>
      <w:r>
        <w:rPr>
          <w:rFonts w:cs="Calibri" w:cstheme="minorHAnsi"/>
          <w:color w:val="auto"/>
          <w:szCs w:val="22"/>
        </w:rPr>
        <w:t xml:space="preserve">l’organizzazione </w:t>
      </w:r>
      <w:r>
        <w:rPr>
          <w:rFonts w:cs="Calibri" w:cstheme="minorHAnsi"/>
          <w:color w:val="auto"/>
          <w:szCs w:val="24"/>
        </w:rPr>
        <w:t>non ha, in relazione ai legali rappresentanti e gli altri soggetti di cui all’art. 85 del D.lgs 159/2011 s.m.i. (“Codice Antimafia”), cause di divieto, di decadenza, di sospensione previste dall’art 67 dello stesso Codice;</w:t>
      </w:r>
    </w:p>
    <w:p>
      <w:pPr>
        <w:pStyle w:val="Normal"/>
        <w:numPr>
          <w:ilvl w:val="0"/>
          <w:numId w:val="1"/>
        </w:numPr>
        <w:spacing w:lineRule="auto" w:line="36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/>
        <w:t>che i documenti contabili non sono stati e non saranno presentati a valere su altre agevolazioni a livello comunitario, nazionale, regionale e comunale;</w:t>
      </w:r>
      <w:bookmarkStart w:id="2" w:name="_Hlk43979350"/>
      <w:bookmarkEnd w:id="2"/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>che tutta la documentazione in originale relativa al progetto è conservata presso ___________</w:t>
      </w:r>
      <w:r>
        <w:rPr>
          <w:rFonts w:cs="Calibri"/>
          <w:color w:val="auto"/>
        </w:rPr>
        <w:t xml:space="preserve"> in ______________________________, Via   ________________________________ n._____</w:t>
      </w:r>
      <w:r>
        <w:rPr>
          <w:rFonts w:eastAsia="Times New Roman" w:cs="Calibri" w:cstheme="minorHAnsi"/>
          <w:color w:val="auto"/>
          <w:szCs w:val="22"/>
          <w:lang w:eastAsia="it-IT"/>
        </w:rPr>
        <w:t>;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l’organizzazione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1)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p>
      <w:pPr>
        <w:pStyle w:val="ListParagraph"/>
        <w:numPr>
          <w:ilvl w:val="0"/>
          <w:numId w:val="4"/>
        </w:numPr>
        <w:snapToGrid w:val="false"/>
        <w:spacing w:before="57" w:after="0"/>
        <w:ind w:left="1298" w:hanging="357"/>
        <w:contextualSpacing w:val="false"/>
        <w:rPr>
          <w:rFonts w:ascii="Calibri" w:hAnsi="Calibri" w:eastAsia="Calibri" w:cs="Calibri" w:asciiTheme="minorHAnsi" w:cstheme="minorHAnsi" w:hAnsiTheme="minorHAnsi"/>
          <w:sz w:val="22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ha ottemperato a quanto previsto dall’art. 6, comma 2, del decreto legge 78/2010, convertito in legge n. 122/2010;</w:t>
      </w:r>
    </w:p>
    <w:p>
      <w:pPr>
        <w:pStyle w:val="ListParagraph"/>
        <w:numPr>
          <w:ilvl w:val="0"/>
          <w:numId w:val="4"/>
        </w:numPr>
        <w:snapToGrid w:val="false"/>
        <w:spacing w:lineRule="auto" w:line="360" w:before="57" w:after="0"/>
        <w:ind w:left="1298" w:hanging="357"/>
        <w:contextualSpacing w:val="false"/>
        <w:rPr/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</w:rPr>
        <w:t>rientra nella tipologia degli enti esonerati dal rispetto della norma.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568" w:hanging="284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  <w:t xml:space="preserve">che il/i titolare/i effettivo/i dell’Ente è/sono </w:t>
      </w:r>
      <w:r>
        <w:rPr>
          <w:rFonts w:eastAsia="Times New Roman" w:cs="Calibri" w:cstheme="minorHAnsi"/>
          <w:b/>
          <w:bCs/>
          <w:color w:val="auto"/>
          <w:sz w:val="18"/>
          <w:szCs w:val="18"/>
          <w:lang w:eastAsia="it-IT"/>
        </w:rPr>
        <w:t>(si veda l’allegata nota esplicativa 2)</w:t>
      </w:r>
      <w:r>
        <w:rPr>
          <w:rFonts w:eastAsia="Times New Roman" w:cs="Calibri" w:cstheme="minorHAnsi"/>
          <w:color w:val="auto"/>
          <w:szCs w:val="22"/>
          <w:lang w:eastAsia="it-IT"/>
        </w:rPr>
        <w:t>:</w:t>
      </w:r>
    </w:p>
    <w:tbl>
      <w:tblPr>
        <w:tblStyle w:val="Grigliatabella"/>
        <w:tblW w:w="892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244" w:hRule="atLeast"/>
        </w:trPr>
        <w:tc>
          <w:tcPr>
            <w:tcW w:w="8924" w:type="dxa"/>
            <w:tcBorders/>
          </w:tcPr>
          <w:p>
            <w:pPr>
              <w:pStyle w:val="Normal"/>
              <w:widowControl/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kern w:val="0"/>
                <w:sz w:val="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Cognome __________________________________ Nome 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nato/a a _________________________________ (______) il 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residente 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 (______) CAP 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via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 n. ____________</w:t>
            </w:r>
          </w:p>
          <w:p>
            <w:pPr>
              <w:pStyle w:val="Normal"/>
              <w:widowControl/>
              <w:tabs>
                <w:tab w:val="clear" w:pos="709"/>
                <w:tab w:val="left" w:pos="555" w:leader="none"/>
              </w:tabs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Codice Fiscale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__________________________________________________________________</w:t>
            </w:r>
          </w:p>
        </w:tc>
      </w:tr>
    </w:tbl>
    <w:p>
      <w:pPr>
        <w:pStyle w:val="Normal"/>
        <w:spacing w:lineRule="auto" w:line="360"/>
        <w:ind w:left="851" w:hanging="0"/>
        <w:rPr>
          <w:rFonts w:ascii="Calibri" w:hAnsi="Calibri" w:cs="Calibri" w:asciiTheme="minorHAnsi" w:cstheme="minorHAnsi" w:hAnsiTheme="minorHAnsi"/>
          <w:sz w:val="2"/>
          <w:szCs w:val="22"/>
        </w:rPr>
      </w:pPr>
      <w:r>
        <w:rPr>
          <w:rFonts w:cs="Calibri" w:cstheme="minorHAnsi"/>
          <w:sz w:val="2"/>
          <w:szCs w:val="22"/>
        </w:rPr>
      </w:r>
    </w:p>
    <w:tbl>
      <w:tblPr>
        <w:tblStyle w:val="Grigliatabella"/>
        <w:tblW w:w="8924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924"/>
      </w:tblGrid>
      <w:tr>
        <w:trPr>
          <w:trHeight w:val="1111" w:hRule="atLeast"/>
        </w:trPr>
        <w:tc>
          <w:tcPr>
            <w:tcW w:w="8924" w:type="dxa"/>
            <w:tcBorders/>
          </w:tcPr>
          <w:p>
            <w:pPr>
              <w:pStyle w:val="Normal"/>
              <w:widowControl/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 w:cstheme="minorHAnsi"/>
                <w:kern w:val="0"/>
                <w:sz w:val="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Cognome __________________________________ Nome 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nato/a a _________________________________ (______) il 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51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residente 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 (______) CAP 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60"/>
              <w:ind w:left="851" w:hanging="818"/>
              <w:rPr>
                <w:rFonts w:cs="Calibri"/>
                <w:bCs/>
                <w:lang w:eastAsia="it-IT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via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 n. ____________</w:t>
            </w:r>
          </w:p>
          <w:p>
            <w:pPr>
              <w:pStyle w:val="Normal"/>
              <w:widowControl/>
              <w:tabs>
                <w:tab w:val="clear" w:pos="709"/>
                <w:tab w:val="left" w:pos="555" w:leader="none"/>
              </w:tabs>
              <w:suppressAutoHyphens w:val="true"/>
              <w:spacing w:before="0" w:after="60"/>
              <w:rPr>
                <w:rFonts w:ascii="Calibri" w:hAnsi="Calibri" w:cs="Calibri" w:asciiTheme="minorHAnsi" w:cstheme="minorHAnsi" w:hAnsiTheme="minorHAnsi"/>
                <w:sz w:val="2"/>
                <w:szCs w:val="22"/>
              </w:rPr>
            </w:pPr>
            <w:r>
              <w:rPr>
                <w:rFonts w:cs="Calibri"/>
                <w:bCs/>
                <w:kern w:val="0"/>
                <w:lang w:val="it-IT" w:eastAsia="it-IT" w:bidi="ar-SA"/>
              </w:rPr>
              <w:t xml:space="preserve">Codice Fiscale </w:t>
            </w:r>
            <w:r>
              <w:rPr>
                <w:rFonts w:cs="Calibri"/>
                <w:color w:val="000000"/>
                <w:kern w:val="0"/>
                <w:lang w:val="it-IT" w:eastAsia="en-US" w:bidi="ar-SA"/>
              </w:rPr>
              <w:t>__________________________________________________________________</w:t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b/>
          <w:b/>
          <w:sz w:val="18"/>
          <w:szCs w:val="22"/>
        </w:rPr>
      </w:pPr>
      <w:r>
        <w:rPr>
          <w:b/>
          <w:sz w:val="18"/>
        </w:rPr>
        <w:t xml:space="preserve">                  </w:t>
      </w:r>
      <w:r>
        <w:rPr>
          <w:b/>
          <w:sz w:val="18"/>
        </w:rPr>
        <w:t>Compilate una tabella per ogni titolare effettivo, aggiungendo altre tabelle se necessario</w:t>
      </w:r>
    </w:p>
    <w:p>
      <w:pPr>
        <w:pStyle w:val="Normal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  <w:t>Allegare obbligatoriamente copia del documento di identità in corso di validità e codice fiscale del/i titolare/i effettivo/i se diverso/i dal rappresentante legale.</w:t>
      </w:r>
    </w:p>
    <w:p>
      <w:pPr>
        <w:pStyle w:val="Normal"/>
        <w:spacing w:lineRule="auto" w:line="240" w:before="0" w:after="0"/>
        <w:ind w:left="709" w:hanging="0"/>
        <w:rPr>
          <w:rFonts w:ascii="Calibri" w:hAnsi="Calibri" w:cs="Calibri" w:asciiTheme="minorHAnsi" w:cstheme="minorHAnsi" w:hAnsiTheme="minorHAnsi"/>
          <w:b/>
          <w:b/>
          <w:bCs/>
          <w:color w:val="FF0000"/>
          <w:lang w:eastAsia="it-IT"/>
        </w:rPr>
      </w:pPr>
      <w:r>
        <w:rPr>
          <w:rFonts w:cs="Calibri" w:cstheme="minorHAnsi"/>
          <w:b/>
          <w:bCs/>
          <w:color w:val="FF0000"/>
          <w:lang w:eastAsia="it-IT"/>
        </w:rPr>
      </w:r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RICHIEDE:</w:t>
      </w:r>
    </w:p>
    <w:p>
      <w:pPr>
        <w:pStyle w:val="ListParagraph"/>
        <w:numPr>
          <w:ilvl w:val="0"/>
          <w:numId w:val="2"/>
        </w:numPr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4"/>
        </w:rPr>
        <w:t xml:space="preserve">l’erogazione della quota di acconto pari al 70%  del finanziamento </w:t>
      </w:r>
      <w:r>
        <w:rPr>
          <w:rFonts w:eastAsia="Lucida Sans Unicode" w:cs="Calibri" w:ascii="Calibri" w:hAnsi="Calibri" w:asciiTheme="minorHAnsi" w:cstheme="minorHAnsi" w:hAnsiTheme="minorHAnsi"/>
          <w:sz w:val="22"/>
          <w:szCs w:val="22"/>
          <w:lang w:eastAsia="ar-SA"/>
        </w:rPr>
        <w:t>pari a €__________________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spacing w:lineRule="auto" w:line="36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Cs w:val="22"/>
        </w:rPr>
        <w:t>Chiede inoltre che il suddetto importo sia accreditato, in coerenza con quanto comunicato all’interno della Dichiarazione Tracciabilità dei flussi finanziari, sul seguente conto corrente bancario/postale;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ISTITUTO 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AGENZIA _________________________________________________________________________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C/C-IBAN 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Calibri" w:hAnsi="Calibri" w:eastAsia="Times New Roman" w:cs="Calibri" w:asciiTheme="minorHAnsi" w:cstheme="minorHAnsi" w:hAnsiTheme="minorHAnsi"/>
          <w:color w:val="auto"/>
          <w:szCs w:val="22"/>
          <w:lang w:eastAsia="it-IT"/>
        </w:rPr>
      </w:pPr>
      <w:r>
        <w:rPr>
          <w:rFonts w:eastAsia="Times New Roman" w:cs="Calibri" w:cstheme="minorHAnsi"/>
          <w:color w:val="auto"/>
          <w:szCs w:val="22"/>
          <w:lang w:eastAsia="it-IT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color w:val="auto"/>
        </w:rPr>
        <w:t>ALLEGA</w:t>
      </w:r>
    </w:p>
    <w:p>
      <w:pPr>
        <w:pStyle w:val="ListParagraph"/>
        <w:numPr>
          <w:ilvl w:val="0"/>
          <w:numId w:val="3"/>
        </w:numPr>
        <w:spacing w:before="113" w:after="0"/>
        <w:contextualSpacing w:val="false"/>
        <w:rPr/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Fidejussione bancaria o assicurativa rilasciata per l’importo di € ______________;</w:t>
      </w:r>
    </w:p>
    <w:p>
      <w:pPr>
        <w:pStyle w:val="ListParagraph"/>
        <w:numPr>
          <w:ilvl w:val="0"/>
          <w:numId w:val="3"/>
        </w:numPr>
        <w:spacing w:before="113" w:after="0"/>
        <w:contextualSpacing w:val="false"/>
        <w:rPr/>
      </w:pPr>
      <w:r>
        <w:rPr>
          <w:rFonts w:cs="Calibri" w:ascii="Calibri" w:hAnsi="Calibri" w:asciiTheme="minorHAnsi" w:cstheme="minorHAnsi" w:hAnsiTheme="minorHAnsi"/>
          <w:color w:val="auto"/>
          <w:sz w:val="22"/>
          <w:szCs w:val="22"/>
        </w:rPr>
        <w:t>Allegato 1 Dichiarazione tracciabilità flussi finanziari.</w:t>
      </w:r>
    </w:p>
    <w:p>
      <w:pPr>
        <w:pStyle w:val="ListParagraph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Theme="minorHAnsi" w:hAnsiTheme="minorHAnsi" w:ascii="Calibri" w:hAnsi="Calibri"/>
          <w:sz w:val="22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bookmarkStart w:id="3" w:name="_Hlk38901043"/>
      <w:bookmarkStart w:id="4" w:name="_Hlk38901043"/>
      <w:bookmarkEnd w:id="4"/>
    </w:p>
    <w:p>
      <w:pPr>
        <w:pStyle w:val="Normal"/>
        <w:spacing w:lineRule="auto" w:line="240" w:before="0" w:after="0"/>
        <w:jc w:val="left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r>
        <w:br w:type="page"/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(1)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Il decreto legge 78/2010, convertito in legge n. 122/2010, concernente la manovra finanziaria per 2010-2013, all'articolo 6, comma 2, stabilisce che, dal 31 maggio 2010, la partecipazione agli organi collegiali, anche di amministrazione, degli enti che ricevono contributi a carico delle finanze pubbliche, nonché la titolarità dei predetti enti, è onorifica e può dar luogo soltanto al rimborso delle spese sostenute; qualora siano già previsti, gli eventuali gettoni di presenza non possono superare l'importo di 30 euro a seduta giornaliera.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Gli enti privati che non si adeguano a quanto disposto dall’articolato di legge non possono ricevere, neanche indirettamente, contributi o utilità a carico delle pubbliche finanze (resta salva, per quanto di competenza statale, l'eventuale devoluzione del 5 per mille del gettito dell'IRPEF).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20"/>
          <w:szCs w:val="22"/>
        </w:rPr>
      </w:pPr>
      <w:r>
        <w:rPr>
          <w:rFonts w:eastAsia="Calibri" w:cs="Calibri" w:cstheme="minorHAnsi" w:eastAsiaTheme="minorHAnsi"/>
          <w:color w:val="auto"/>
          <w:sz w:val="20"/>
          <w:szCs w:val="22"/>
        </w:rPr>
        <w:t>La norma non si applica ad un insieme di enti, così riassumibile:</w:t>
      </w:r>
    </w:p>
    <w:p>
      <w:pPr>
        <w:pStyle w:val="ListParagraph"/>
        <w:numPr>
          <w:ilvl w:val="0"/>
          <w:numId w:val="9"/>
        </w:numPr>
        <w:spacing w:before="60" w:after="0"/>
        <w:contextualSpacing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previsti nominativamente dal decreto legislativo n. 300 del 1999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2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Amministrazioni pubbliche, previste dal decreto legislativo n. 165 del 2001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3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Università, enti e fondazioni di ricerca e organismi equiparati.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Camere di commercio.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del servizio sanitario nazionale.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indicati nella tabella C della legge finanziaria.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previdenziali ed assistenziali nazionali.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ONLUS.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associazioni di promozione sociale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footnoteReference w:id="4"/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enti pubblici economici individuati con decreto del Ministero dell'economia e delle finanze su proposta del Ministero vigilante.</w:t>
      </w:r>
    </w:p>
    <w:p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auto"/>
          <w:szCs w:val="22"/>
        </w:rPr>
        <w:t>società.</w:t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b/>
          <w:bCs/>
          <w:color w:val="000000"/>
          <w:szCs w:val="22"/>
        </w:rPr>
      </w:pPr>
      <w:r>
        <w:rPr>
          <w:rFonts w:cs="Calibri" w:cstheme="minorHAnsi"/>
          <w:b/>
          <w:bCs/>
          <w:color w:val="000000"/>
          <w:szCs w:val="22"/>
        </w:rPr>
        <w:t>Nota esplicativa (2)</w:t>
      </w:r>
    </w:p>
    <w:p>
      <w:pPr>
        <w:pStyle w:val="Normal"/>
        <w:tabs>
          <w:tab w:val="clear" w:pos="709"/>
          <w:tab w:val="left" w:pos="4160" w:leader="none"/>
          <w:tab w:val="left" w:pos="4678" w:leader="none"/>
        </w:tabs>
        <w:rPr>
          <w:rFonts w:ascii="Calibri" w:hAnsi="Calibri" w:cs="Calibri" w:asciiTheme="minorHAnsi" w:cstheme="minorHAnsi" w:hAnsiTheme="minorHAnsi"/>
          <w:b/>
          <w:b/>
          <w:bCs/>
          <w:sz w:val="20"/>
        </w:rPr>
      </w:pPr>
      <w:r>
        <w:rPr>
          <w:rFonts w:cs="Calibri" w:cstheme="minorHAnsi"/>
          <w:b/>
          <w:i/>
          <w:color w:val="19191A"/>
          <w:sz w:val="20"/>
          <w:lang w:eastAsia="it-IT"/>
        </w:rPr>
        <w:t xml:space="preserve">Criteri per la determinazione della titolarità effettiva di clienti diversi dalle persone fisiche (1) </w:t>
      </w:r>
    </w:p>
    <w:p>
      <w:pPr>
        <w:pStyle w:val="Normal"/>
        <w:rPr>
          <w:rFonts w:ascii="Calibri" w:hAnsi="Calibri" w:cs="Calibri" w:asciiTheme="minorHAnsi" w:cstheme="minorHAnsi" w:hAnsiTheme="minorHAnsi"/>
          <w:i/>
          <w:i/>
          <w:color w:val="19191A"/>
          <w:sz w:val="20"/>
          <w:lang w:eastAsia="it-IT"/>
        </w:rPr>
      </w:pPr>
      <w:r>
        <w:rPr>
          <w:rFonts w:cs="Calibri" w:cstheme="minorHAnsi"/>
          <w:i/>
          <w:color w:val="19191A"/>
          <w:sz w:val="20"/>
          <w:lang w:eastAsia="it-IT"/>
        </w:rPr>
        <w:t>(ex art. 20 D.Lgs.  21 novembre 2007, n. 231)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Il titolare effettivo dell’ente diversi dalle persone fisiche coincide con la persona fisica o le persone fisiche cui, in ultima istanza, è attribuibile la proprietà diretta o indiretta dell'ente ovvero il relativo controllo.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società di capitali: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diretta la titolarità di una partecipazione superiore al 25 per cento del capitale dell’ente, detenuta da una persona fisica;</w:t>
      </w:r>
    </w:p>
    <w:p>
      <w:pPr>
        <w:pStyle w:val="ListParagraph"/>
        <w:numPr>
          <w:ilvl w:val="0"/>
          <w:numId w:val="6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costituisce indicazione di proprietà indiretta la titolarità di una percentuale di partecipazioni superiore al 25 per cento del capitale dell’ente, posseduto per il tramite di società controllate, società fiduciarie o per interposta persona.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Nelle ipotesi in cui l'esame dell'assetto proprietario non consenta di individuare in maniera univoca la persona fisica o le persone fisiche cui è attribuibile la proprietà diretta o indiretta dell'ente, il titolare effettivo coincide con la persona fisica o le persone fisiche cui, in ultima istanza, è attribuibile il controllo del medesimo in forza: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della maggioranza dei voti esercitabili in assemblea ordinaria;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 controllo di voti sufficienti per esercitare un'influenza dominante in assemblea ordinaria;</w:t>
      </w:r>
    </w:p>
    <w:p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799" w:hanging="665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dell'esistenza di particolari vincoli contrattuali che consentano di esercitare un'influenza dominante.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Qualora l'applicazione dei criteri di cui ai precedenti commi non consenta di individuare univocamente uno o più titolari effettivi, il titolare effettivo coincide con la persona fisica o le persone fisiche titolari di poteri di amministrazione o direzione della società.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Nel caso in cui l’ente sia una persona giuridica privata, di cui al decreto del Presidente della Repubblica 10 febbraio 2000, n. 361, sono cumulativamente individuati, come titolari effettivi: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fondatori, ove in vita;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beneficiari, quando individuati o facilmente individuabili;</w:t>
      </w:r>
    </w:p>
    <w:p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916" w:leader="none"/>
          <w:tab w:val="left" w:pos="1418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1418" w:hanging="284"/>
        <w:rPr>
          <w:rFonts w:ascii="Calibri" w:hAnsi="Calibri" w:cs="Calibri" w:asciiTheme="minorHAnsi" w:cstheme="minorHAnsi" w:hAnsiTheme="minorHAnsi"/>
          <w:i/>
          <w:i/>
          <w:color w:val="19191A"/>
        </w:rPr>
      </w:pPr>
      <w:r>
        <w:rPr>
          <w:rFonts w:cs="Calibri" w:ascii="Calibri" w:hAnsi="Calibri" w:asciiTheme="minorHAnsi" w:cstheme="minorHAnsi" w:hAnsiTheme="minorHAnsi"/>
          <w:i/>
          <w:color w:val="19191A"/>
        </w:rPr>
        <w:t>i titolari di funzioni di direzione e amministrazione.</w:t>
      </w:r>
    </w:p>
    <w:p>
      <w:pPr>
        <w:pStyle w:val="ListParagraph"/>
        <w:numPr>
          <w:ilvl w:val="0"/>
          <w:numId w:val="5"/>
        </w:numPr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Calibri" w:hAnsi="Calibri" w:cs="Calibri" w:asciiTheme="minorHAnsi" w:cstheme="minorHAnsi" w:hAnsiTheme="minorHAnsi"/>
          <w:color w:val="19191A"/>
        </w:rPr>
      </w:pPr>
      <w:r>
        <w:rPr>
          <w:rFonts w:cs="Calibri" w:ascii="Calibri" w:hAnsi="Calibri" w:asciiTheme="minorHAnsi" w:cstheme="minorHAnsi" w:hAnsiTheme="minorHAnsi"/>
          <w:color w:val="19191A"/>
        </w:rPr>
        <w:t>I soggetti obbligati conservano traccia delle verifiche effettuate ai fini dell'individuazione del titolare effettivo.</w:t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</w:r>
    </w:p>
    <w:p>
      <w:pPr>
        <w:pStyle w:val="Normal"/>
        <w:spacing w:before="0" w:after="60"/>
        <w:rPr>
          <w:rFonts w:ascii="Calibri" w:hAnsi="Calibri" w:cs="Calibri" w:asciiTheme="minorHAnsi" w:cstheme="minorHAnsi" w:hAnsiTheme="minorHAnsi"/>
          <w:sz w:val="20"/>
        </w:rPr>
      </w:pPr>
      <w:r>
        <w:rPr>
          <w:rFonts w:cs="Calibri" w:cstheme="minorHAnsi"/>
          <w:sz w:val="20"/>
        </w:rPr>
        <w:t>(1) Articolo così sostituito dall’ art. 2, comma 1, D.Lgs. 25 maggio 2017, n. 90, che ha sostituito l’intero Titolo II.</w:t>
      </w:r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2" wp14:anchorId="2CD7B620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105" cy="232410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231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05pt;height:18.2pt;mso-wrap-style:none;v-text-anchor:middle;mso-position-vertical-relative:page" wp14:anchorId="2CD7B620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 wp14:anchorId="4D8B376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795" cy="224155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040" cy="223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6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5pt;height:17.55pt;mso-wrap-style:square;v-text-anchor:top" wp14:anchorId="4D8B3761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6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Richiesta di anticipazione a fronte di fidejussione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9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Decreto legislativo 30 luglio 1999 n. 300. (modificato dal decreto legge n. 217/2001): Riforma dell'organizzazione del governo, a norma dell'articolo 11 della legge 15 marzo 1997, n. 59.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Art.1 = “Il presente decreto legislativo, in attuazione della delega disposta con l'articolo 11 della legge 15 marzo 1997, n. 59, modificato dall'articolo 1 della legge 16 giugno 1998, n. 191 e dall'articolo 9 della legge 8 marzo 1999, n.50, detta norme per la razionalizzazione, il riordino, la soppressione e la fusione di ministeri, l'istituzione di agenzie, il riordino dell'amministrazione periferica dello Stato”.</w:t>
      </w:r>
    </w:p>
  </w:footnote>
  <w:footnote w:id="3">
    <w:p>
      <w:pPr>
        <w:pStyle w:val="Notaapidipagina"/>
        <w:spacing w:before="120" w:after="0"/>
        <w:rPr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Art. 1, comma 2: “per amministrazioni pubbliche si intendono tutte le amministrazioni dello Stato, ivi compresi gli istituti e scuole di ogni ordine e grado e le istituzioni educative, le aziende ed amministrazioni dello Stato ad ordinamento autonomo, le Regioni, le Province, i Comuni, le Comunità montane, e loro consorzi e associazioni, le istituzioni universitarie, gli Istituti autonomi case popolari, le Camere di commercio, industria, artigianato e agricoltura e loro associazioni, tutti gli enti pubblici non economici nazionali, regionali e locali, le amministrazioni, le aziende e gli enti del Servizio sanitario nazionale, l'Agenzia per la rappresentanza negoziale delle pubbliche amministrazioni (ARAN) e le Agenzie di cui al decreto legislativo 30 luglio 1999, n. 300”.</w:t>
      </w:r>
    </w:p>
  </w:footnote>
  <w:footnote w:id="4">
    <w:p>
      <w:pPr>
        <w:pStyle w:val="Normal"/>
        <w:spacing w:lineRule="auto" w:line="240" w:before="12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 w:val="18"/>
          <w:szCs w:val="19"/>
        </w:rPr>
      </w:pPr>
      <w:r>
        <w:rPr>
          <w:rStyle w:val="Caratterinotaapidipagina"/>
        </w:rPr>
        <w:footnoteRef/>
      </w:r>
      <w:r>
        <w:rPr>
          <w:sz w:val="18"/>
          <w:szCs w:val="19"/>
        </w:rPr>
        <w:t xml:space="preserve"> </w:t>
      </w:r>
      <w:r>
        <w:rPr>
          <w:rFonts w:eastAsia="Calibri" w:cs="Calibri" w:cstheme="minorHAnsi" w:eastAsiaTheme="minorHAnsi"/>
          <w:color w:val="auto"/>
          <w:sz w:val="18"/>
          <w:szCs w:val="19"/>
        </w:rPr>
        <w:t>Legge 383/2000 - Art. 2. (Associazioni di promozione sociale) “1. Sono considerate associazioni di promozione sociale le associazioni riconosciute e non riconosciute, i movimenti, i gruppi e i loro coordinamenti o federazioni costituiti al fine di svolgere attività di utilità sociale a favore di associati o di terzi, senza finalità di lucro e nel pieno rispetto della libertà e dignità degli associati.</w:t>
      </w:r>
    </w:p>
    <w:p>
      <w:pPr>
        <w:pStyle w:val="Normal"/>
        <w:spacing w:lineRule="auto" w:line="240" w:before="0" w:after="0"/>
        <w:rPr>
          <w:rFonts w:ascii="Calibri" w:hAnsi="Calibri" w:eastAsia="Calibri" w:cs="Calibri" w:asciiTheme="minorHAnsi" w:cstheme="minorHAnsi" w:eastAsiaTheme="minorHAnsi" w:hAnsiTheme="minorHAnsi"/>
          <w:color w:val="auto"/>
          <w:szCs w:val="22"/>
        </w:rPr>
      </w:pPr>
      <w:r>
        <w:rPr>
          <w:rFonts w:eastAsia="Calibri" w:cs="Calibri" w:cstheme="minorHAnsi" w:eastAsiaTheme="minorHAnsi"/>
          <w:color w:val="auto"/>
          <w:sz w:val="18"/>
          <w:szCs w:val="19"/>
        </w:rPr>
        <w:t>2. Non sono considerate associazioni di promozione sociale, ai fini e per gli effetti della presente legge, i partiti politici, le organizzazioni sindacali, le associazioni dei datori di lavoro, le associazioni professionali e di categoria e tutte le associazioni che hanno come finalità la tutela esclusiva di interessi economici degli associati. 3. Non costituiscono altresì associazioni di promozione sociale i circoli privati e le associazioni comunque denominate che dispongono limitazioni con riferimento alle condizioni economiche e discriminazioni di qualsiasi natura in relazione all'ammissione degli associati o prevedono il diritto di trasferimento, a qualsiasi titolo, della quota associativa o che, infine, collegano, in qualsiasi forma, la partecipazione sociale alla titolarità di azioni o quote di natura patrimoniale.”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4">
    <w:lvl w:ilvl="0">
      <w:start w:val="1"/>
      <w:numFmt w:val="bullet"/>
      <w:lvlText w:val="¨"/>
      <w:lvlJc w:val="left"/>
      <w:pPr>
        <w:tabs>
          <w:tab w:val="num" w:pos="720"/>
        </w:tabs>
        <w:ind w:left="13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0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06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580" w:hanging="360"/>
      </w:pPr>
      <w:rPr>
        <w:b/>
      </w:rPr>
    </w:lvl>
    <w:lvl w:ilvl="1">
      <w:start w:val="1"/>
      <w:numFmt w:val="bullet"/>
      <w:lvlText w:val="¨"/>
      <w:lvlJc w:val="left"/>
      <w:pPr>
        <w:tabs>
          <w:tab w:val="num" w:pos="1080"/>
        </w:tabs>
        <w:ind w:left="130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22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340" w:hanging="180"/>
      </w:pPr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1799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2519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3239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959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4679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5399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6119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839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7559" w:hanging="18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99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193F1-E1E0-4B62-86A2-A08E1B297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LibreOffice/7.2.7.2$Windows_X86_64 LibreOffice_project/8d71d29d553c0f7dcbfa38fbfda25ee34cce99a2</Application>
  <AppVersion>15.0000</AppVersion>
  <DocSecurity>0</DocSecurity>
  <Pages>6</Pages>
  <Words>1491</Words>
  <Characters>9846</Characters>
  <CharactersWithSpaces>11241</CharactersWithSpaces>
  <Paragraphs>93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2022-07-14T15:17:00Z</dcterms:created>
  <dc:creator>Riccardo Banfi</dc:creator>
  <dc:description/>
  <dc:language>it-IT</dc:language>
  <cp:lastModifiedBy/>
  <cp:lastPrinted>2020-05-18T16:39:00Z</cp:lastPrinted>
  <dcterms:modified xsi:type="dcterms:W3CDTF">2022-08-11T11:12:59Z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